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68" w:rsidRPr="00427A86" w:rsidRDefault="00F669B2">
      <w:pPr>
        <w:rPr>
          <w:b/>
          <w:sz w:val="28"/>
          <w:szCs w:val="28"/>
        </w:rPr>
      </w:pPr>
      <w:r w:rsidRPr="00427A86">
        <w:rPr>
          <w:b/>
          <w:sz w:val="28"/>
          <w:szCs w:val="28"/>
        </w:rPr>
        <w:t>Õiend</w:t>
      </w:r>
    </w:p>
    <w:p w:rsidR="00F669B2" w:rsidRPr="00427A86" w:rsidRDefault="00F669B2">
      <w:pPr>
        <w:rPr>
          <w:b/>
          <w:sz w:val="28"/>
          <w:szCs w:val="28"/>
        </w:rPr>
      </w:pPr>
      <w:r w:rsidRPr="00427A86">
        <w:rPr>
          <w:b/>
          <w:sz w:val="28"/>
          <w:szCs w:val="28"/>
        </w:rPr>
        <w:t>Täiendavate vahendite taotlemiseks reservfondist</w:t>
      </w:r>
    </w:p>
    <w:p w:rsidR="00F669B2" w:rsidRPr="00427A86" w:rsidRDefault="005B0E6A">
      <w:pPr>
        <w:rPr>
          <w:b/>
          <w:sz w:val="28"/>
          <w:szCs w:val="28"/>
        </w:rPr>
      </w:pPr>
      <w:r w:rsidRPr="00427A86">
        <w:rPr>
          <w:b/>
          <w:sz w:val="28"/>
          <w:szCs w:val="28"/>
        </w:rPr>
        <w:t>LA Pääsupesa ujula puhastusseadmete remont</w:t>
      </w:r>
    </w:p>
    <w:p w:rsidR="00427A86" w:rsidRDefault="00427A86" w:rsidP="00FC7B39">
      <w:pPr>
        <w:jc w:val="both"/>
        <w:rPr>
          <w:sz w:val="24"/>
          <w:szCs w:val="24"/>
        </w:rPr>
      </w:pPr>
    </w:p>
    <w:p w:rsidR="005B0E6A" w:rsidRDefault="003746F4" w:rsidP="00FC7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Tartu </w:t>
      </w:r>
      <w:r w:rsidR="005B0E6A">
        <w:rPr>
          <w:sz w:val="24"/>
          <w:szCs w:val="24"/>
        </w:rPr>
        <w:t>Lasteaias</w:t>
      </w:r>
      <w:r>
        <w:rPr>
          <w:sz w:val="24"/>
          <w:szCs w:val="24"/>
        </w:rPr>
        <w:t xml:space="preserve"> Pääsupesa</w:t>
      </w:r>
      <w:r w:rsidR="005B0E6A">
        <w:rPr>
          <w:sz w:val="24"/>
          <w:szCs w:val="24"/>
        </w:rPr>
        <w:t xml:space="preserve"> on kaks basseini</w:t>
      </w:r>
      <w:r w:rsidR="00E470DD">
        <w:rPr>
          <w:sz w:val="24"/>
          <w:szCs w:val="24"/>
        </w:rPr>
        <w:t xml:space="preserve"> veeteraapia läbiviimiseks</w:t>
      </w:r>
      <w:r>
        <w:rPr>
          <w:sz w:val="24"/>
          <w:szCs w:val="24"/>
        </w:rPr>
        <w:t>.</w:t>
      </w:r>
      <w:r w:rsidR="005B0E6A">
        <w:rPr>
          <w:sz w:val="24"/>
          <w:szCs w:val="24"/>
        </w:rPr>
        <w:t xml:space="preserve"> </w:t>
      </w:r>
      <w:r w:rsidR="00E470DD">
        <w:rPr>
          <w:sz w:val="24"/>
          <w:szCs w:val="24"/>
        </w:rPr>
        <w:t>Tagamaks Tervisekaitsenõuete täitmist</w:t>
      </w:r>
      <w:r>
        <w:rPr>
          <w:sz w:val="24"/>
          <w:szCs w:val="24"/>
        </w:rPr>
        <w:t xml:space="preserve"> tuleb teostada hooldustöid. Ü</w:t>
      </w:r>
      <w:r w:rsidR="002B4D4E">
        <w:rPr>
          <w:sz w:val="24"/>
          <w:szCs w:val="24"/>
        </w:rPr>
        <w:t>he basseini keemiajaama</w:t>
      </w:r>
      <w:r w:rsidR="005B0E6A">
        <w:rPr>
          <w:sz w:val="24"/>
          <w:szCs w:val="24"/>
        </w:rPr>
        <w:t xml:space="preserve"> on lasteaed </w:t>
      </w:r>
      <w:r w:rsidR="002B4D4E">
        <w:rPr>
          <w:sz w:val="24"/>
          <w:szCs w:val="24"/>
        </w:rPr>
        <w:t xml:space="preserve">korrastanud </w:t>
      </w:r>
      <w:r w:rsidR="005B0E6A">
        <w:rPr>
          <w:sz w:val="24"/>
          <w:szCs w:val="24"/>
        </w:rPr>
        <w:t xml:space="preserve">omavahenditest. </w:t>
      </w:r>
      <w:r>
        <w:rPr>
          <w:sz w:val="24"/>
          <w:szCs w:val="24"/>
        </w:rPr>
        <w:t>Veel</w:t>
      </w:r>
      <w:r w:rsidR="005B0E6A">
        <w:rPr>
          <w:sz w:val="24"/>
          <w:szCs w:val="24"/>
        </w:rPr>
        <w:t xml:space="preserve"> on vajalik </w:t>
      </w:r>
      <w:r w:rsidR="003819AC">
        <w:rPr>
          <w:sz w:val="24"/>
          <w:szCs w:val="24"/>
        </w:rPr>
        <w:t>teise</w:t>
      </w:r>
      <w:r w:rsidR="005B0E6A" w:rsidRPr="005B0E6A">
        <w:rPr>
          <w:sz w:val="24"/>
          <w:szCs w:val="24"/>
        </w:rPr>
        <w:t xml:space="preserve"> basseini keemiajaama väljavahetami</w:t>
      </w:r>
      <w:r w:rsidR="005B0E6A">
        <w:rPr>
          <w:sz w:val="24"/>
          <w:szCs w:val="24"/>
        </w:rPr>
        <w:t>ne ning basseinide ühise filtrisüsteemi</w:t>
      </w:r>
      <w:r w:rsidR="005B0E6A" w:rsidRPr="005B0E6A">
        <w:rPr>
          <w:sz w:val="24"/>
          <w:szCs w:val="24"/>
        </w:rPr>
        <w:t xml:space="preserve"> liiva</w:t>
      </w:r>
      <w:r w:rsidR="003819AC">
        <w:rPr>
          <w:sz w:val="24"/>
          <w:szCs w:val="24"/>
        </w:rPr>
        <w:t xml:space="preserve"> vahetus</w:t>
      </w:r>
      <w:r>
        <w:rPr>
          <w:sz w:val="24"/>
          <w:szCs w:val="24"/>
        </w:rPr>
        <w:t xml:space="preserve"> ja puhastamine</w:t>
      </w:r>
      <w:r w:rsidR="003819AC">
        <w:rPr>
          <w:sz w:val="24"/>
          <w:szCs w:val="24"/>
        </w:rPr>
        <w:t>.</w:t>
      </w:r>
    </w:p>
    <w:p w:rsidR="003746F4" w:rsidRDefault="003746F4" w:rsidP="00FC7B39">
      <w:pPr>
        <w:jc w:val="both"/>
        <w:rPr>
          <w:sz w:val="24"/>
          <w:szCs w:val="24"/>
        </w:rPr>
      </w:pPr>
      <w:r>
        <w:rPr>
          <w:sz w:val="24"/>
          <w:szCs w:val="24"/>
        </w:rPr>
        <w:t>Tartu Lasteaed Pääsupesa ja Linnavarade osakond on võtnud hinnapakkumisi basseinitehnika hooldusettevõtetelt.</w:t>
      </w:r>
    </w:p>
    <w:p w:rsidR="001E7FFE" w:rsidRDefault="00D704E8" w:rsidP="00FC7B39">
      <w:pPr>
        <w:jc w:val="both"/>
        <w:rPr>
          <w:sz w:val="24"/>
          <w:szCs w:val="24"/>
        </w:rPr>
      </w:pPr>
      <w:r>
        <w:rPr>
          <w:sz w:val="24"/>
          <w:szCs w:val="24"/>
        </w:rPr>
        <w:t>Pakkujad ja summad:</w:t>
      </w:r>
    </w:p>
    <w:tbl>
      <w:tblPr>
        <w:tblStyle w:val="TableGrid"/>
        <w:tblW w:w="0" w:type="auto"/>
        <w:tblLook w:val="04A0"/>
      </w:tblPr>
      <w:tblGrid>
        <w:gridCol w:w="518"/>
        <w:gridCol w:w="2392"/>
        <w:gridCol w:w="1842"/>
        <w:gridCol w:w="1843"/>
        <w:gridCol w:w="1843"/>
      </w:tblGrid>
      <w:tr w:rsidR="007B5699" w:rsidTr="00D646A3">
        <w:tc>
          <w:tcPr>
            <w:tcW w:w="518" w:type="dxa"/>
          </w:tcPr>
          <w:p w:rsidR="007B5699" w:rsidRDefault="007B5699" w:rsidP="00FC7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B5699" w:rsidRDefault="00D646A3" w:rsidP="00D64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Pakkuja</w:t>
            </w:r>
          </w:p>
        </w:tc>
        <w:tc>
          <w:tcPr>
            <w:tcW w:w="1842" w:type="dxa"/>
          </w:tcPr>
          <w:p w:rsidR="007B5699" w:rsidRDefault="007B5699" w:rsidP="00D64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Keemiajaam</w:t>
            </w:r>
          </w:p>
        </w:tc>
        <w:tc>
          <w:tcPr>
            <w:tcW w:w="1843" w:type="dxa"/>
          </w:tcPr>
          <w:p w:rsidR="007B5699" w:rsidRDefault="007B5699" w:rsidP="00D64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Liivafilter</w:t>
            </w:r>
          </w:p>
        </w:tc>
        <w:tc>
          <w:tcPr>
            <w:tcW w:w="1843" w:type="dxa"/>
          </w:tcPr>
          <w:p w:rsidR="007B5699" w:rsidRDefault="007B5699" w:rsidP="00D64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Kokku</w:t>
            </w:r>
          </w:p>
        </w:tc>
      </w:tr>
      <w:tr w:rsidR="007B5699" w:rsidTr="00D646A3">
        <w:tc>
          <w:tcPr>
            <w:tcW w:w="518" w:type="dxa"/>
          </w:tcPr>
          <w:p w:rsidR="007B5699" w:rsidRPr="007452A8" w:rsidRDefault="007452A8" w:rsidP="00745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7B5699" w:rsidRDefault="007B5699" w:rsidP="00FC7B39">
            <w:pPr>
              <w:jc w:val="both"/>
              <w:rPr>
                <w:sz w:val="24"/>
                <w:szCs w:val="24"/>
              </w:rPr>
            </w:pPr>
            <w:r w:rsidRPr="007B5699">
              <w:rPr>
                <w:sz w:val="24"/>
                <w:szCs w:val="24"/>
              </w:rPr>
              <w:t>Basseinimeister</w:t>
            </w:r>
            <w:r w:rsidR="007452A8">
              <w:rPr>
                <w:sz w:val="24"/>
                <w:szCs w:val="24"/>
              </w:rPr>
              <w:t xml:space="preserve"> OÜ</w:t>
            </w:r>
          </w:p>
        </w:tc>
        <w:tc>
          <w:tcPr>
            <w:tcW w:w="1842" w:type="dxa"/>
          </w:tcPr>
          <w:p w:rsidR="007B5699" w:rsidRDefault="007B5699" w:rsidP="003746F4">
            <w:pPr>
              <w:jc w:val="right"/>
              <w:rPr>
                <w:sz w:val="24"/>
                <w:szCs w:val="24"/>
              </w:rPr>
            </w:pPr>
            <w:r w:rsidRPr="007B5699">
              <w:rPr>
                <w:sz w:val="24"/>
                <w:szCs w:val="24"/>
              </w:rPr>
              <w:t>3122</w:t>
            </w:r>
            <w:r>
              <w:rPr>
                <w:sz w:val="24"/>
                <w:szCs w:val="24"/>
              </w:rPr>
              <w:t>,40</w:t>
            </w:r>
          </w:p>
        </w:tc>
        <w:tc>
          <w:tcPr>
            <w:tcW w:w="1843" w:type="dxa"/>
          </w:tcPr>
          <w:p w:rsidR="007B5699" w:rsidRDefault="007452A8" w:rsidP="00374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</w:t>
            </w:r>
            <w:r w:rsidRPr="007452A8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B5699" w:rsidRDefault="00D605BA" w:rsidP="00374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5007,84</w:t>
            </w:r>
          </w:p>
        </w:tc>
      </w:tr>
      <w:tr w:rsidR="007B5699" w:rsidTr="00D646A3">
        <w:tc>
          <w:tcPr>
            <w:tcW w:w="518" w:type="dxa"/>
          </w:tcPr>
          <w:p w:rsidR="007B5699" w:rsidRDefault="007452A8" w:rsidP="00FC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7B5699" w:rsidRPr="007B5699" w:rsidRDefault="007452A8" w:rsidP="00FC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Basseinihoolduse OÜ</w:t>
            </w:r>
          </w:p>
        </w:tc>
        <w:tc>
          <w:tcPr>
            <w:tcW w:w="1842" w:type="dxa"/>
          </w:tcPr>
          <w:p w:rsidR="007B5699" w:rsidRPr="007B5699" w:rsidRDefault="007452A8" w:rsidP="003746F4">
            <w:pPr>
              <w:jc w:val="right"/>
              <w:rPr>
                <w:sz w:val="24"/>
                <w:szCs w:val="24"/>
              </w:rPr>
            </w:pPr>
            <w:r w:rsidRPr="007452A8">
              <w:rPr>
                <w:sz w:val="24"/>
                <w:szCs w:val="24"/>
              </w:rPr>
              <w:t>3312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B5699" w:rsidRDefault="007452A8" w:rsidP="003746F4">
            <w:pPr>
              <w:jc w:val="right"/>
              <w:rPr>
                <w:sz w:val="24"/>
                <w:szCs w:val="24"/>
              </w:rPr>
            </w:pPr>
            <w:r w:rsidRPr="007452A8">
              <w:rPr>
                <w:sz w:val="24"/>
                <w:szCs w:val="24"/>
              </w:rPr>
              <w:t>2056.44</w:t>
            </w:r>
          </w:p>
        </w:tc>
        <w:tc>
          <w:tcPr>
            <w:tcW w:w="1843" w:type="dxa"/>
          </w:tcPr>
          <w:p w:rsidR="007B5699" w:rsidRDefault="00D646A3" w:rsidP="00374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5368,44</w:t>
            </w:r>
          </w:p>
        </w:tc>
      </w:tr>
      <w:tr w:rsidR="007B5699" w:rsidTr="00D646A3">
        <w:tc>
          <w:tcPr>
            <w:tcW w:w="518" w:type="dxa"/>
          </w:tcPr>
          <w:p w:rsidR="007B5699" w:rsidRDefault="007452A8" w:rsidP="00FC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2" w:type="dxa"/>
          </w:tcPr>
          <w:p w:rsidR="007B5699" w:rsidRPr="007B5699" w:rsidRDefault="007452A8" w:rsidP="00FC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Basseiniekspert OÜ</w:t>
            </w:r>
          </w:p>
        </w:tc>
        <w:tc>
          <w:tcPr>
            <w:tcW w:w="1842" w:type="dxa"/>
          </w:tcPr>
          <w:p w:rsidR="007B5699" w:rsidRPr="007B5699" w:rsidRDefault="00D605BA" w:rsidP="003746F4">
            <w:pPr>
              <w:jc w:val="right"/>
              <w:rPr>
                <w:sz w:val="24"/>
                <w:szCs w:val="24"/>
              </w:rPr>
            </w:pPr>
            <w:r w:rsidRPr="00D605BA">
              <w:rPr>
                <w:sz w:val="24"/>
                <w:szCs w:val="24"/>
              </w:rPr>
              <w:t>2757,6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5699" w:rsidRDefault="00D605BA" w:rsidP="003746F4">
            <w:pPr>
              <w:jc w:val="right"/>
              <w:rPr>
                <w:sz w:val="24"/>
                <w:szCs w:val="24"/>
              </w:rPr>
            </w:pPr>
            <w:r w:rsidRPr="00D605BA">
              <w:rPr>
                <w:sz w:val="24"/>
                <w:szCs w:val="24"/>
              </w:rPr>
              <w:t>2370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B5699" w:rsidRDefault="00D646A3" w:rsidP="00374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5127,60</w:t>
            </w:r>
          </w:p>
        </w:tc>
      </w:tr>
      <w:tr w:rsidR="007B5699" w:rsidTr="00D646A3">
        <w:tc>
          <w:tcPr>
            <w:tcW w:w="518" w:type="dxa"/>
          </w:tcPr>
          <w:p w:rsidR="007B5699" w:rsidRDefault="007452A8" w:rsidP="00FC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2" w:type="dxa"/>
          </w:tcPr>
          <w:p w:rsidR="007B5699" w:rsidRPr="007B5699" w:rsidRDefault="00D605BA" w:rsidP="00FC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Basseiniehitus OÜ</w:t>
            </w:r>
          </w:p>
        </w:tc>
        <w:tc>
          <w:tcPr>
            <w:tcW w:w="1842" w:type="dxa"/>
          </w:tcPr>
          <w:p w:rsidR="007B5699" w:rsidRPr="007B5699" w:rsidRDefault="00D605BA" w:rsidP="00374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05BA">
              <w:rPr>
                <w:sz w:val="24"/>
                <w:szCs w:val="24"/>
              </w:rPr>
              <w:t>277,6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5699" w:rsidRDefault="00D605BA" w:rsidP="00374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05BA">
              <w:rPr>
                <w:sz w:val="24"/>
                <w:szCs w:val="24"/>
              </w:rPr>
              <w:t>342,32</w:t>
            </w:r>
          </w:p>
        </w:tc>
        <w:tc>
          <w:tcPr>
            <w:tcW w:w="1843" w:type="dxa"/>
          </w:tcPr>
          <w:p w:rsidR="007B5699" w:rsidRDefault="00D646A3" w:rsidP="00374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4619,92</w:t>
            </w:r>
          </w:p>
        </w:tc>
      </w:tr>
    </w:tbl>
    <w:p w:rsidR="003819AC" w:rsidRDefault="003819AC" w:rsidP="00FC7B39">
      <w:pPr>
        <w:jc w:val="both"/>
        <w:rPr>
          <w:sz w:val="24"/>
          <w:szCs w:val="24"/>
        </w:rPr>
      </w:pPr>
    </w:p>
    <w:p w:rsidR="006F4696" w:rsidRDefault="006F4696" w:rsidP="00FC7B39">
      <w:pPr>
        <w:jc w:val="both"/>
        <w:rPr>
          <w:sz w:val="24"/>
          <w:szCs w:val="24"/>
        </w:rPr>
      </w:pPr>
      <w:r>
        <w:rPr>
          <w:sz w:val="24"/>
          <w:szCs w:val="24"/>
        </w:rPr>
        <w:t>Linnavarade osakonnal puudub hetkel võimalus tööde rahastamiseks.</w:t>
      </w:r>
    </w:p>
    <w:p w:rsidR="00D704E8" w:rsidRDefault="00D704E8" w:rsidP="00FC7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Vajadusest </w:t>
      </w:r>
      <w:r w:rsidR="003819AC">
        <w:rPr>
          <w:sz w:val="24"/>
          <w:szCs w:val="24"/>
        </w:rPr>
        <w:t xml:space="preserve">teostada puhastusseadmete remonditööd </w:t>
      </w:r>
      <w:r>
        <w:rPr>
          <w:sz w:val="24"/>
          <w:szCs w:val="24"/>
        </w:rPr>
        <w:t xml:space="preserve">enne algavat õppeaastat, teeb </w:t>
      </w:r>
      <w:r w:rsidR="00B20CB3">
        <w:rPr>
          <w:sz w:val="24"/>
          <w:szCs w:val="24"/>
        </w:rPr>
        <w:t xml:space="preserve">linnavarade osakond koos </w:t>
      </w:r>
      <w:r w:rsidR="003819AC">
        <w:rPr>
          <w:sz w:val="24"/>
          <w:szCs w:val="24"/>
        </w:rPr>
        <w:t xml:space="preserve">LA Pääsupesa </w:t>
      </w:r>
      <w:r>
        <w:rPr>
          <w:sz w:val="24"/>
          <w:szCs w:val="24"/>
        </w:rPr>
        <w:t xml:space="preserve">ettepaneku eraldada </w:t>
      </w:r>
      <w:r w:rsidR="00B20CB3">
        <w:rPr>
          <w:sz w:val="24"/>
          <w:szCs w:val="24"/>
        </w:rPr>
        <w:t xml:space="preserve">linnavarade osakonnale </w:t>
      </w:r>
      <w:r>
        <w:rPr>
          <w:sz w:val="24"/>
          <w:szCs w:val="24"/>
        </w:rPr>
        <w:t xml:space="preserve">reservfondist </w:t>
      </w:r>
      <w:r w:rsidR="00B20CB3">
        <w:rPr>
          <w:sz w:val="24"/>
          <w:szCs w:val="24"/>
        </w:rPr>
        <w:t>puuduolev</w:t>
      </w:r>
      <w:r w:rsidR="00D646A3">
        <w:rPr>
          <w:sz w:val="24"/>
          <w:szCs w:val="24"/>
        </w:rPr>
        <w:t xml:space="preserve"> 4619,92 eurot Tartu Lasteaed Pääsupesa ujula filtrisüsteemi remondiks.</w:t>
      </w:r>
    </w:p>
    <w:p w:rsidR="00FC7B39" w:rsidRDefault="00FC7B39" w:rsidP="00D704E8">
      <w:pPr>
        <w:rPr>
          <w:sz w:val="24"/>
          <w:szCs w:val="24"/>
        </w:rPr>
      </w:pPr>
    </w:p>
    <w:p w:rsidR="00FC7B39" w:rsidRDefault="00FC7B39" w:rsidP="00D704E8">
      <w:pPr>
        <w:rPr>
          <w:sz w:val="24"/>
          <w:szCs w:val="24"/>
        </w:rPr>
      </w:pPr>
      <w:r>
        <w:rPr>
          <w:sz w:val="24"/>
          <w:szCs w:val="24"/>
        </w:rPr>
        <w:t xml:space="preserve">Koostasid </w:t>
      </w:r>
      <w:r w:rsidR="003819AC">
        <w:rPr>
          <w:sz w:val="24"/>
          <w:szCs w:val="24"/>
        </w:rPr>
        <w:t>:</w:t>
      </w:r>
    </w:p>
    <w:p w:rsidR="00B20CB3" w:rsidRPr="003819AC" w:rsidRDefault="003819AC" w:rsidP="003819AC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3819AC">
        <w:rPr>
          <w:sz w:val="24"/>
          <w:szCs w:val="24"/>
        </w:rPr>
        <w:t>Jana Pillmann</w:t>
      </w:r>
      <w:r>
        <w:rPr>
          <w:sz w:val="24"/>
          <w:szCs w:val="24"/>
        </w:rPr>
        <w:t>,</w:t>
      </w:r>
      <w:r w:rsidRPr="003819AC">
        <w:rPr>
          <w:sz w:val="24"/>
          <w:szCs w:val="24"/>
        </w:rPr>
        <w:t xml:space="preserve"> LA Pääsupesa direktor</w:t>
      </w:r>
    </w:p>
    <w:p w:rsidR="003819AC" w:rsidRPr="003819AC" w:rsidRDefault="00D646A3" w:rsidP="003819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Teet Eomäe, LVO ET vanem</w:t>
      </w:r>
      <w:r w:rsidR="003819AC">
        <w:rPr>
          <w:sz w:val="24"/>
          <w:szCs w:val="24"/>
        </w:rPr>
        <w:t>spetsialist</w:t>
      </w:r>
    </w:p>
    <w:p w:rsidR="003746F4" w:rsidRDefault="003746F4" w:rsidP="001E7FFE">
      <w:pPr>
        <w:rPr>
          <w:sz w:val="24"/>
          <w:szCs w:val="24"/>
        </w:rPr>
      </w:pPr>
    </w:p>
    <w:p w:rsidR="00B20CB3" w:rsidRPr="001E7FFE" w:rsidRDefault="003819AC" w:rsidP="001E7FFE">
      <w:pPr>
        <w:rPr>
          <w:sz w:val="24"/>
          <w:szCs w:val="24"/>
        </w:rPr>
      </w:pPr>
      <w:r>
        <w:rPr>
          <w:sz w:val="24"/>
          <w:szCs w:val="24"/>
        </w:rPr>
        <w:t>2. juuli</w:t>
      </w:r>
      <w:r w:rsidR="00B20CB3">
        <w:rPr>
          <w:sz w:val="24"/>
          <w:szCs w:val="24"/>
        </w:rPr>
        <w:t xml:space="preserve"> 2015. a</w:t>
      </w:r>
    </w:p>
    <w:sectPr w:rsidR="00B20CB3" w:rsidRPr="001E7FFE" w:rsidSect="0019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C7A"/>
    <w:multiLevelType w:val="hybridMultilevel"/>
    <w:tmpl w:val="85C07E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BF2"/>
    <w:multiLevelType w:val="hybridMultilevel"/>
    <w:tmpl w:val="C9BCA7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50A6"/>
    <w:multiLevelType w:val="hybridMultilevel"/>
    <w:tmpl w:val="5EF8C0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F779A"/>
    <w:multiLevelType w:val="hybridMultilevel"/>
    <w:tmpl w:val="49D6F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69B2"/>
    <w:rsid w:val="00153E68"/>
    <w:rsid w:val="00192ECB"/>
    <w:rsid w:val="001E5611"/>
    <w:rsid w:val="001E7FFE"/>
    <w:rsid w:val="002B4D4E"/>
    <w:rsid w:val="003746F4"/>
    <w:rsid w:val="003819AC"/>
    <w:rsid w:val="0042606A"/>
    <w:rsid w:val="00427A86"/>
    <w:rsid w:val="005B0E6A"/>
    <w:rsid w:val="006F4696"/>
    <w:rsid w:val="007452A8"/>
    <w:rsid w:val="007B5699"/>
    <w:rsid w:val="009638AC"/>
    <w:rsid w:val="00975317"/>
    <w:rsid w:val="00B20CB3"/>
    <w:rsid w:val="00D605BA"/>
    <w:rsid w:val="00D646A3"/>
    <w:rsid w:val="00D704E8"/>
    <w:rsid w:val="00E0377E"/>
    <w:rsid w:val="00E470DD"/>
    <w:rsid w:val="00F669B2"/>
    <w:rsid w:val="00FC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3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5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E7FF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75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LV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Teet Eomäe</cp:lastModifiedBy>
  <cp:revision>7</cp:revision>
  <dcterms:created xsi:type="dcterms:W3CDTF">2015-06-19T08:33:00Z</dcterms:created>
  <dcterms:modified xsi:type="dcterms:W3CDTF">2015-07-02T06:39:00Z</dcterms:modified>
</cp:coreProperties>
</file>